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FD05BA" w:rsidP="00FD05BA">
      <w:pPr>
        <w:pStyle w:val="Heading1"/>
      </w:pPr>
      <w:bookmarkStart w:id="0" w:name="_Toc47936102"/>
      <w:bookmarkStart w:id="1" w:name="_Toc47938528"/>
      <w:bookmarkStart w:id="2" w:name="_Toc47948790"/>
      <w:r>
        <w:t>ESPECIFICAÇÃO DO FORNECIMENTO</w:t>
      </w:r>
    </w:p>
    <w:p w:rsidR="00FD05BA" w:rsidP="00FD05BA">
      <w:pPr>
        <w:pStyle w:val="Text"/>
      </w:pPr>
      <w:r w:rsidRPr="00FD05BA">
        <w:t>A presente especificação define as caraterísticas dos eletrocompressores de canal lateral (</w:t>
      </w:r>
      <w:r w:rsidRPr="00D94776" w:rsidR="000F32E6">
        <w:rPr>
          <w:i/>
        </w:rPr>
        <w:t>boosters</w:t>
      </w:r>
      <w:r w:rsidR="000F32E6">
        <w:t>) para utilização na pressurização de biogás.</w:t>
      </w:r>
    </w:p>
    <w:p w:rsidR="00FD05BA" w:rsidRPr="00FD05BA" w:rsidP="00FD05BA">
      <w:pPr>
        <w:pStyle w:val="Text"/>
      </w:pPr>
      <w:r w:rsidRPr="00FD05BA">
        <w:t>As condições de funcionamento dos eletrocompressores são as indicadas nas peças de projeto/nota técnica. Em caso de contradição entre a presente especificação e elementos de projeto/nota técnica colocados a concurso, prevalecem as indicações dos últimos.</w:t>
      </w:r>
    </w:p>
    <w:p w:rsidR="00491E8D" w:rsidP="00063CFE">
      <w:pPr>
        <w:pStyle w:val="Text"/>
      </w:pPr>
    </w:p>
    <w:p w:rsidR="00C15849" w:rsidRPr="00FD05BA" w:rsidP="002A64A7">
      <w:pPr>
        <w:pStyle w:val="Text"/>
        <w:ind w:left="851" w:hanging="284"/>
      </w:pPr>
    </w:p>
    <w:p w:rsidR="00FD05BA" w:rsidP="00FD05BA">
      <w:pPr>
        <w:pStyle w:val="Heading1"/>
      </w:pPr>
      <w:r>
        <w:t>caraterísticas DO FORNECIMENTO</w:t>
      </w:r>
    </w:p>
    <w:p w:rsidR="004A6CF4" w:rsidP="004A6CF4">
      <w:pPr>
        <w:pStyle w:val="Heading2"/>
        <w:numPr>
          <w:ilvl w:val="0"/>
          <w:numId w:val="0"/>
        </w:numPr>
        <w:ind w:left="567"/>
      </w:pPr>
      <w:r w:rsidRPr="005437FB">
        <w:t>Será obrigatoriamente fornecida a curva caraterística do compressor evidenciando a sua adequação para as condições operatórias, rendimento e potência absorvida.</w:t>
      </w:r>
    </w:p>
    <w:p w:rsidR="00FD05BA" w:rsidRPr="002A0F3A" w:rsidP="00FD05BA">
      <w:pPr>
        <w:pStyle w:val="Heading2"/>
      </w:pPr>
      <w:r w:rsidRPr="002A0F3A">
        <w:t>Caraterísticas mínimas obrigatórias</w:t>
      </w:r>
    </w:p>
    <w:p w:rsidR="00CA034E" w:rsidP="00CA034E">
      <w:pPr>
        <w:pStyle w:val="Heading3"/>
      </w:pPr>
      <w:r>
        <w:t>Mecânicas</w:t>
      </w:r>
    </w:p>
    <w:p w:rsidR="004A3B48" w:rsidRPr="00E626A2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E626A2">
        <w:rPr>
          <w:rStyle w:val="Text-BoldChar"/>
          <w:b w:val="0"/>
          <w:szCs w:val="22"/>
          <w:lang w:val="pt-PT"/>
        </w:rPr>
        <w:t>O grupo eletrocompressor será canopiado, exceto se a avaliação de impacte no ambiente circundante seja desprezável, o que deverá ser fundamentado no projeto, sendo o revestimento constituído por materiais autoextinguíveis;</w:t>
      </w:r>
    </w:p>
    <w:p w:rsidR="004A3B48" w:rsidRPr="00E626A2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E626A2">
        <w:rPr>
          <w:rStyle w:val="Text-BoldChar"/>
          <w:b w:val="0"/>
          <w:szCs w:val="22"/>
          <w:lang w:val="pt-PT"/>
        </w:rPr>
        <w:t>O compressor será acionado por motor elétrico;</w:t>
      </w:r>
    </w:p>
    <w:p w:rsidR="00302BB9" w:rsidRPr="00E626A2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302BB9">
        <w:t xml:space="preserve">No caso do acoplamento não ser direto (transmissão seja por acoplamentos flexíveis ou por correias) </w:t>
      </w:r>
      <w:r w:rsidRPr="00E626A2">
        <w:rPr>
          <w:rStyle w:val="Text-BoldChar"/>
          <w:b w:val="0"/>
          <w:szCs w:val="22"/>
          <w:lang w:val="pt-PT"/>
        </w:rPr>
        <w:t>o motor será instalado em base basculante, sendo a transmissão autotensada e devidamente protegida.</w:t>
      </w:r>
      <w:r w:rsidRPr="00302BB9">
        <w:t xml:space="preserve"> Os invólucros de proteção deverão ser fabricados em material antideflagrante;</w:t>
      </w:r>
    </w:p>
    <w:p w:rsidR="004A3B48" w:rsidRPr="00245A60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245A60">
        <w:rPr>
          <w:rStyle w:val="Text-BoldChar"/>
          <w:b w:val="0"/>
          <w:szCs w:val="22"/>
          <w:lang w:val="pt-PT"/>
        </w:rPr>
        <w:t>O bloco eletrocompressor será montado sobre apoios antivibráticos com pernos de fixação;</w:t>
      </w:r>
    </w:p>
    <w:p w:rsidR="00B74908" w:rsidRPr="00F80370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FE39E2">
        <w:rPr>
          <w:rStyle w:val="Text-BoldChar"/>
          <w:b w:val="0"/>
          <w:szCs w:val="22"/>
          <w:lang w:val="pt-PT"/>
        </w:rPr>
        <w:t>As tubagens de aspiração e compressão dos compressores serão equipadas com filtros silenciadores, dispondo as tubagens de compressão de válvula de segurança e de válvula de retenção. Será fornecida uma junta flexível na descarga;</w:t>
      </w:r>
    </w:p>
    <w:p w:rsidR="00A73A0D" w:rsidRPr="00FE39E2" w:rsidP="004A3B48">
      <w:pPr>
        <w:pStyle w:val="Bullets2"/>
        <w:rPr>
          <w:rStyle w:val="Text-BoldChar"/>
          <w:b w:val="0"/>
          <w:szCs w:val="22"/>
          <w:lang w:val="pt-PT"/>
        </w:rPr>
      </w:pPr>
      <w:r w:rsidRPr="00FE39E2">
        <w:rPr>
          <w:rStyle w:val="Text-BoldChar"/>
          <w:b w:val="0"/>
          <w:szCs w:val="22"/>
          <w:lang w:val="pt-PT"/>
        </w:rPr>
        <w:t>Compressão totalmente isenta de oleo;</w:t>
      </w:r>
    </w:p>
    <w:p w:rsidR="00C31DE3" w:rsidRPr="0074037E" w:rsidP="00C31DE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4037E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Os materiais constituintes do eletrocompressor serão de qualidade não inferior aos a seguir indicados:</w:t>
      </w:r>
    </w:p>
    <w:p w:rsidR="00C31DE3" w:rsidRPr="004A6CF4" w:rsidP="00C31DE3">
      <w:pPr>
        <w:pStyle w:val="Numbered-Text2"/>
        <w:rPr>
          <w:rFonts w:eastAsia="Arial Unicode MS"/>
          <w:color w:val="111111"/>
          <w:sz w:val="22"/>
          <w:szCs w:val="22"/>
        </w:rPr>
      </w:pPr>
      <w:r w:rsidRPr="008414D9">
        <w:rPr>
          <w:rStyle w:val="Text-BoldChar"/>
          <w:b w:val="0"/>
          <w:szCs w:val="22"/>
          <w:lang w:val="pt-PT"/>
        </w:rPr>
        <w:t xml:space="preserve">Carcaça e impulsores: </w:t>
      </w:r>
      <w:r w:rsidRPr="008414D9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integralmente em liga de alumínio antideflagrante, de acordo com a norma referenciada na presente especificação técnica</w:t>
      </w:r>
      <w:r w:rsidRPr="004A6CF4">
        <w:rPr>
          <w:rFonts w:eastAsia="Arial Unicode MS"/>
        </w:rPr>
        <w:t>;</w:t>
      </w:r>
    </w:p>
    <w:p w:rsidR="00C31DE3" w:rsidRPr="00A73A0D" w:rsidP="00C31DE3">
      <w:pPr>
        <w:pStyle w:val="Numbered-Text2"/>
        <w:rPr>
          <w:rStyle w:val="Text-BoldChar"/>
          <w:b w:val="0"/>
          <w:szCs w:val="22"/>
          <w:lang w:val="pt-PT"/>
        </w:rPr>
      </w:pPr>
      <w:r w:rsidRPr="00A73A0D">
        <w:rPr>
          <w:rStyle w:val="Text-BoldChar"/>
          <w:b w:val="0"/>
          <w:szCs w:val="22"/>
          <w:lang w:val="pt-PT"/>
        </w:rPr>
        <w:t>Partes em contacto com o gás deverão ser seladas por um tratamento de impregnação a vácuo com uma resina à base de metacrilato;</w:t>
      </w:r>
    </w:p>
    <w:p w:rsidR="00495F27" w:rsidRPr="00A73A0D" w:rsidP="00C31DE3">
      <w:pPr>
        <w:pStyle w:val="Numbered-Text2"/>
        <w:rPr>
          <w:rStyle w:val="Text-BoldChar"/>
          <w:b w:val="0"/>
          <w:szCs w:val="22"/>
          <w:lang w:val="pt-PT"/>
        </w:rPr>
      </w:pPr>
      <w:r w:rsidRPr="00A73A0D">
        <w:rPr>
          <w:rStyle w:val="Text-BoldChar"/>
          <w:b w:val="0"/>
          <w:szCs w:val="22"/>
          <w:lang w:val="pt-PT"/>
        </w:rPr>
        <w:t>O corpo da máquina será selado de forma completamente estanque e a vedação do veio será feita com retentor especial que não requeira lubrificação;</w:t>
      </w:r>
    </w:p>
    <w:p w:rsidR="00001525" w:rsidRPr="008414D9" w:rsidP="00FD05BA">
      <w:pPr>
        <w:pStyle w:val="Numbered-Text2"/>
        <w:rPr>
          <w:rStyle w:val="Text-BoldChar"/>
          <w:b w:val="0"/>
          <w:szCs w:val="22"/>
          <w:lang w:val="pt-PT"/>
        </w:rPr>
      </w:pPr>
      <w:r w:rsidRPr="008414D9">
        <w:rPr>
          <w:rStyle w:val="Text-BoldChar"/>
          <w:b w:val="0"/>
          <w:szCs w:val="22"/>
          <w:lang w:val="pt-PT"/>
        </w:rPr>
        <w:t>Suportes, acessórios e parafusaria: aço inox 1.4301.</w:t>
      </w:r>
    </w:p>
    <w:p w:rsidR="00FD05BA" w:rsidP="00FD05BA">
      <w:pPr>
        <w:pStyle w:val="Heading3"/>
      </w:pPr>
      <w:r>
        <w:t>Motor Elétrico</w:t>
      </w:r>
    </w:p>
    <w:p w:rsidR="000F03FE" w:rsidRPr="00E626A2" w:rsidP="000F03FE">
      <w:pPr>
        <w:pStyle w:val="Text"/>
        <w:rPr>
          <w:rStyle w:val="Text-BoldChar"/>
          <w:b w:val="0"/>
          <w:szCs w:val="22"/>
          <w:lang w:val="pt-PT"/>
        </w:rPr>
      </w:pPr>
      <w:r w:rsidRPr="00FD785A">
        <w:rPr>
          <w:szCs w:val="22"/>
        </w:rPr>
        <w:t>Os motores a usar no acionamento dos compressores serão assíncronos, trifásicos, de rotor em curto-circuito, com velocidade de rotação máxima de 2980 r.p.m., proteção IP 55, classe de isolamento F e construção antideflagrante EExd II B T4. Possuirão ventilador acoplado diretamente ao veio do motor elétrico. A tensão de alimentação será de 3 x 400 V, 50 Hz.</w:t>
      </w:r>
    </w:p>
    <w:p w:rsidR="000F03FE" w:rsidRPr="009F0196" w:rsidP="000F03FE">
      <w:pPr>
        <w:pStyle w:val="Text"/>
        <w:rPr>
          <w:szCs w:val="22"/>
        </w:rPr>
      </w:pPr>
      <w:r w:rsidRPr="009F0196">
        <w:rPr>
          <w:szCs w:val="22"/>
        </w:rPr>
        <w:t>Os motores deverão ser equipados com caixas de terminais principais e auxiliares com classe de proteção lP55.</w:t>
      </w:r>
    </w:p>
    <w:p w:rsidR="000F03FE" w:rsidP="000F03FE">
      <w:pPr>
        <w:pStyle w:val="Text"/>
        <w:rPr>
          <w:szCs w:val="22"/>
        </w:rPr>
      </w:pPr>
      <w:r w:rsidRPr="009F0196">
        <w:rPr>
          <w:szCs w:val="22"/>
        </w:rPr>
        <w:t>Os motores deverão ser ainda equipados de terminais para ligação à terra na carcaça e no interior das caixas de terminais.</w:t>
      </w:r>
    </w:p>
    <w:p w:rsidR="00FD05BA" w:rsidP="002A0F3A">
      <w:pPr>
        <w:pStyle w:val="Heading3"/>
        <w:keepNext/>
      </w:pPr>
      <w:r>
        <w:t xml:space="preserve">Chapas de Caraterísticas </w:t>
      </w:r>
    </w:p>
    <w:p w:rsidR="00FD05BA" w:rsidRPr="007F7156" w:rsidP="00FD05BA">
      <w:pPr>
        <w:pStyle w:val="Text"/>
        <w:rPr>
          <w:szCs w:val="22"/>
        </w:rPr>
      </w:pPr>
      <w:r w:rsidRPr="007F7156">
        <w:rPr>
          <w:szCs w:val="22"/>
        </w:rPr>
        <w:t>Os elementos dos grupos eletrocompressores deverão ser fornecidos com chapas de caraterísticas, em aço inoxidável, nas quais deverão ser inscritos de forma indelével os seguintes dados: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Fabricante;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Modelo;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326514">
        <w:rPr>
          <w:rStyle w:val="Text-BoldChar"/>
          <w:b w:val="0"/>
          <w:szCs w:val="22"/>
          <w:lang w:val="pt-PT"/>
        </w:rPr>
        <w:t>Número e ano de fabrico;</w:t>
      </w:r>
    </w:p>
    <w:p w:rsidR="005609AE" w:rsidRPr="005609AE" w:rsidP="005609AE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</w:rPr>
      </w:pPr>
      <w:r w:rsidRPr="005609AE">
        <w:rPr>
          <w:rStyle w:val="Text-BoldChar"/>
          <w:b w:val="0"/>
          <w:szCs w:val="22"/>
        </w:rPr>
        <w:t>Caudal nominal;</w:t>
      </w:r>
    </w:p>
    <w:p w:rsidR="005609AE" w:rsidRPr="005609AE" w:rsidP="005609AE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</w:rPr>
      </w:pPr>
      <w:r w:rsidRPr="005609AE">
        <w:rPr>
          <w:rStyle w:val="Text-BoldChar"/>
          <w:b w:val="0"/>
          <w:szCs w:val="22"/>
        </w:rPr>
        <w:t>Pressão diferencial;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Velocidade de rotação;</w:t>
      </w:r>
    </w:p>
    <w:p w:rsidR="00FD05BA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>
        <w:rPr>
          <w:rStyle w:val="Text-BoldChar"/>
          <w:b w:val="0"/>
          <w:szCs w:val="22"/>
          <w:lang w:val="pt-PT"/>
        </w:rPr>
        <w:t>Massa;</w:t>
      </w:r>
    </w:p>
    <w:p w:rsidR="00F80370" w:rsidRPr="000E1F60" w:rsidP="00F80370">
      <w:pPr>
        <w:pStyle w:val="Bullets2"/>
        <w:spacing w:before="120"/>
        <w:ind w:left="1135" w:hanging="284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0E1F6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Motor elétrico</w:t>
      </w:r>
    </w:p>
    <w:p w:rsidR="00F80370" w:rsidRPr="000E1F60" w:rsidP="00F80370">
      <w:pPr>
        <w:pStyle w:val="Numbered-Text2"/>
        <w:numPr>
          <w:ilvl w:val="0"/>
          <w:numId w:val="24"/>
        </w:numPr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Fabricante;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Modelo;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Número de fabrico;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Classe de serviço;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Potência nominal;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Tensão nominal;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Corrente nominal;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Frequência e número de fases;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Velocidade de rotação;</w:t>
      </w:r>
    </w:p>
    <w:p w:rsidR="00F8037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Classe de isolamento;</w:t>
      </w:r>
    </w:p>
    <w:p w:rsidR="00F80370" w:rsidRPr="00FD3D34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FD3D34">
        <w:rPr>
          <w:rStyle w:val="Text-BoldChar"/>
          <w:b w:val="0"/>
          <w:szCs w:val="22"/>
          <w:lang w:val="pt-PT"/>
        </w:rPr>
        <w:t>Código ATEX;</w:t>
      </w:r>
    </w:p>
    <w:p w:rsidR="00F80370" w:rsidRPr="000E1F60" w:rsidP="00F80370">
      <w:pPr>
        <w:pStyle w:val="Numbered-Text2"/>
        <w:rPr>
          <w:rStyle w:val="Text-BoldChar"/>
          <w:b w:val="0"/>
          <w:szCs w:val="22"/>
          <w:lang w:val="pt-PT"/>
        </w:rPr>
      </w:pPr>
      <w:r w:rsidRPr="000E1F60">
        <w:rPr>
          <w:rStyle w:val="Text-BoldChar"/>
          <w:b w:val="0"/>
          <w:szCs w:val="22"/>
          <w:lang w:val="pt-PT"/>
        </w:rPr>
        <w:t>Fator de potência;</w:t>
      </w:r>
    </w:p>
    <w:p w:rsidR="00F80370" w:rsidRPr="006930D5" w:rsidP="00F80370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>
        <w:rPr>
          <w:rStyle w:val="Text-BoldChar"/>
          <w:b w:val="0"/>
          <w:szCs w:val="22"/>
          <w:lang w:val="pt-PT"/>
        </w:rPr>
        <w:t>Rendimento.</w:t>
      </w:r>
    </w:p>
    <w:p w:rsidR="00FD05BA" w:rsidP="00E626A2">
      <w:pPr>
        <w:pStyle w:val="Heading2"/>
        <w:spacing w:before="240"/>
      </w:pPr>
      <w:r>
        <w:t>Outras caraterísticas consideradas relevantes:</w:t>
      </w:r>
    </w:p>
    <w:p w:rsidR="004A6CF4" w:rsidRPr="00A1126B" w:rsidP="00A1126B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A1126B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Suportes, acessórios e parafusaria: aço inox 1.4401.</w:t>
      </w:r>
    </w:p>
    <w:p w:rsidR="001101B1" w:rsidRPr="002631F4" w:rsidP="001101B1">
      <w:pPr>
        <w:pStyle w:val="Bullets2"/>
        <w:rPr>
          <w:rStyle w:val="Text-BoldChar"/>
          <w:b w:val="0"/>
          <w:szCs w:val="22"/>
          <w:lang w:val="pt-PT"/>
        </w:rPr>
      </w:pPr>
      <w:r w:rsidRPr="000B1128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Motores com potência entre 7,5 e 375 kW terão classificação mínima IE2, quando operados por variadores de velocidade, ou IE3. Motores elétricos de potência inferior terão classificação mínima IE2;</w:t>
      </w:r>
    </w:p>
    <w:p w:rsidR="001101B1" w:rsidRPr="00D54558" w:rsidP="00FD05BA">
      <w:pPr>
        <w:pStyle w:val="Bullets2"/>
        <w:rPr>
          <w:rStyle w:val="Text-BoldChar"/>
          <w:b w:val="0"/>
          <w:szCs w:val="22"/>
          <w:lang w:val="pt-PT"/>
        </w:rPr>
      </w:pPr>
      <w:r w:rsidRPr="00D54558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Para potências superiores a 3 kW, o fornecimento inclui um interruptor térmico (termistor ou bimetálico);</w:t>
      </w:r>
    </w:p>
    <w:p w:rsidR="00FD05BA" w:rsidP="00E626A2">
      <w:pPr>
        <w:pStyle w:val="Heading1"/>
        <w:keepNext/>
        <w:spacing w:before="360"/>
      </w:pPr>
      <w:r>
        <w:t>TESTES</w:t>
      </w:r>
    </w:p>
    <w:p w:rsidR="00F94FC8" w:rsidRPr="00606EF9" w:rsidP="00F94FC8">
      <w:pPr>
        <w:pStyle w:val="Text"/>
        <w:rPr>
          <w:szCs w:val="22"/>
        </w:rPr>
      </w:pPr>
      <w:r>
        <w:rPr>
          <w:szCs w:val="22"/>
        </w:rPr>
        <w:t>Será emitido um certificado de conformidade CE pelo fabricante que possuirá certificação de acordo com o sistema de qualidade EN ISO 9001 ou equivalente.</w:t>
      </w:r>
    </w:p>
    <w:p w:rsidR="00F94FC8" w:rsidP="00F94FC8">
      <w:pPr>
        <w:pStyle w:val="Text"/>
        <w:rPr>
          <w:szCs w:val="22"/>
        </w:rPr>
      </w:pPr>
      <w:r>
        <w:rPr>
          <w:szCs w:val="22"/>
        </w:rPr>
        <w:t>Serão emitidos certificados de conformidade com a norma EN 10204, pelo menos até EN 10204 – 2.2 ou equivalentes.</w:t>
      </w:r>
    </w:p>
    <w:p w:rsidR="00524182" w:rsidP="00524182">
      <w:pPr>
        <w:pStyle w:val="Text"/>
        <w:rPr>
          <w:szCs w:val="22"/>
        </w:rPr>
      </w:pPr>
      <w:r>
        <w:rPr>
          <w:szCs w:val="22"/>
        </w:rPr>
        <w:t>O equipamento será testado de acordo com a norma ISO 1217:2009 e ISO 2151:2004 ou equivalentes.</w:t>
      </w:r>
    </w:p>
    <w:p w:rsidR="00FD05BA" w:rsidP="00FD05BA">
      <w:pPr>
        <w:pStyle w:val="Text"/>
        <w:rPr>
          <w:szCs w:val="22"/>
        </w:rPr>
      </w:pPr>
      <w:r w:rsidRPr="00F94FC8">
        <w:rPr>
          <w:szCs w:val="22"/>
        </w:rPr>
        <w:t>Os valores globais de vibração deverão estar conforme definido na norma ISO 10816 ou equivalente, quando aplicável.</w:t>
      </w:r>
      <w:bookmarkEnd w:id="0"/>
      <w:bookmarkEnd w:id="1"/>
      <w:bookmarkEnd w:id="2"/>
    </w:p>
    <w:p w:rsidR="00F94FC8" w:rsidP="00FD05BA">
      <w:pPr>
        <w:pStyle w:val="Text"/>
        <w:rPr>
          <w:szCs w:val="22"/>
        </w:rPr>
      </w:pPr>
      <w:r w:rsidRPr="00574942">
        <w:rPr>
          <w:szCs w:val="22"/>
        </w:rPr>
        <w:t>Os conjuntos veio/rotor deverão ser equilibrados estática e dinamicamente. Deverá ser respeitada a norma ISO 1940:1 (ou equivalente) considerando-se o grau de qualidade G2,5 para as condições nominais de operação.</w:t>
      </w:r>
    </w:p>
    <w:p w:rsidR="00E626A2" w:rsidP="00FD05BA">
      <w:pPr>
        <w:pStyle w:val="Text"/>
        <w:rPr>
          <w:szCs w:val="22"/>
        </w:rPr>
      </w:pPr>
    </w:p>
    <w:p w:rsidR="00CA034E" w:rsidP="00F80370">
      <w:pPr>
        <w:pStyle w:val="Heading1"/>
        <w:keepNext/>
        <w:spacing w:before="360"/>
        <w:ind w:left="562" w:hanging="562"/>
      </w:pPr>
      <w:r>
        <w:t>normas</w:t>
      </w:r>
    </w:p>
    <w:p w:rsidR="004D1AD3" w:rsidRPr="00445514" w:rsidP="004D1AD3">
      <w:pPr>
        <w:pStyle w:val="Text"/>
        <w:rPr>
          <w:szCs w:val="22"/>
        </w:rPr>
      </w:pPr>
      <w:r w:rsidRPr="00445514">
        <w:rPr>
          <w:szCs w:val="22"/>
        </w:rPr>
        <w:t>O Sistema de Qualidade do fabricante deverá estar certificado conforme normas ISO 9000 ou equivalente.</w:t>
      </w:r>
    </w:p>
    <w:p w:rsidR="004D1AD3" w:rsidP="004D1AD3">
      <w:pPr>
        <w:pStyle w:val="Text"/>
        <w:rPr>
          <w:szCs w:val="22"/>
        </w:rPr>
      </w:pPr>
      <w:r>
        <w:rPr>
          <w:szCs w:val="22"/>
        </w:rPr>
        <w:t>Os equipamentos obedecerão ainda às seguintes normas ou equivalentes:</w:t>
      </w:r>
    </w:p>
    <w:p w:rsidR="00757AA6" w:rsidRPr="00757AA6" w:rsidP="00757AA6">
      <w:pPr>
        <w:pStyle w:val="Bullets2"/>
        <w:spacing w:before="120"/>
        <w:rPr>
          <w:rStyle w:val="Text-BoldChar"/>
          <w:b w:val="0"/>
          <w:lang w:val="pt-PT"/>
        </w:rPr>
      </w:pPr>
      <w:r w:rsidRPr="00757AA6">
        <w:rPr>
          <w:rStyle w:val="Text-BoldChar"/>
          <w:b w:val="0"/>
          <w:lang w:val="pt-PT"/>
        </w:rPr>
        <w:t>97/23/EC (PED) transposta pelo D.L. 211/99 e 2006/42/EC.</w:t>
      </w:r>
    </w:p>
    <w:p w:rsidR="00067657" w:rsidRPr="004A1235" w:rsidP="00067657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4A1235">
        <w:rPr>
          <w:rStyle w:val="Text-BoldChar"/>
          <w:b w:val="0"/>
          <w:szCs w:val="22"/>
          <w:lang w:val="pt-PT"/>
        </w:rPr>
        <w:t>Diretiva 2006/42/CE – diretiva máquinas;</w:t>
      </w:r>
    </w:p>
    <w:p w:rsidR="004D1AD3" w:rsidRPr="00E626A2" w:rsidP="004D1AD3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E626A2">
        <w:rPr>
          <w:rStyle w:val="Text-BoldChar"/>
          <w:b w:val="0"/>
          <w:szCs w:val="22"/>
          <w:lang w:val="pt-PT"/>
        </w:rPr>
        <w:t>DIN EN ISO 12100:2010 – Segurança e risco na conceção de equipamentos mecânicos;</w:t>
      </w:r>
    </w:p>
    <w:p w:rsidR="004D1AD3" w:rsidRPr="00E626A2" w:rsidP="004D1AD3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E626A2">
        <w:rPr>
          <w:rStyle w:val="Text-BoldChar"/>
          <w:b w:val="0"/>
          <w:szCs w:val="22"/>
          <w:lang w:val="pt-PT"/>
        </w:rPr>
        <w:t>Identificação do equipamento conforme ISO 10440:2007 e IEC 60034;</w:t>
      </w:r>
    </w:p>
    <w:p w:rsidR="004D1AD3" w:rsidP="004D1AD3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E626A2">
        <w:rPr>
          <w:rStyle w:val="Text-BoldChar"/>
          <w:b w:val="0"/>
          <w:szCs w:val="22"/>
          <w:lang w:val="pt-PT"/>
        </w:rPr>
        <w:t>Flanges e furação: ISO 7005-2 (EN 1092-2; DIN2501:1997);</w:t>
      </w:r>
    </w:p>
    <w:p w:rsidR="00F80370" w:rsidRPr="00E626A2" w:rsidP="004D1AD3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FE39E2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ISO 209:2007 – Composição de ligas de alumínio</w:t>
      </w:r>
    </w:p>
    <w:p w:rsidR="00D05696" w:rsidRPr="00067657" w:rsidP="00FD05BA">
      <w:pPr>
        <w:pStyle w:val="Bullets2"/>
        <w:rPr>
          <w:szCs w:val="22"/>
        </w:rPr>
      </w:pPr>
      <w:r w:rsidRPr="00067657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EN 50018 – Aparelhos elé</w:t>
      </w:r>
      <w:bookmarkStart w:id="3" w:name="_GoBack"/>
      <w:bookmarkEnd w:id="3"/>
      <w:r w:rsidRPr="00067657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tricos para atmosferas gasosas explosivas – invólucros à prova de fogo EExd.</w:t>
      </w:r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charset w:val="00"/>
    <w:family w:val="swiss"/>
    <w:pitch w:val="variable"/>
    <w:sig w:usb0="00003A87" w:usb1="00000000" w:usb2="00000000" w:usb3="00000000" w:csb0="0000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D9" w:rsidRPr="00086E23" w:rsidP="00086E23">
    <w:pPr>
      <w:pBdr>
        <w:top w:val="single" w:sz="4" w:space="1" w:color="C0C0C0"/>
      </w:pBdr>
      <w:tabs>
        <w:tab w:val="right" w:pos="9639"/>
      </w:tabs>
      <w:jc w:val="both"/>
      <w:rPr>
        <w:rFonts w:eastAsia="Arial Unicode MS"/>
        <w:color w:val="111111"/>
        <w:sz w:val="14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 w:rsidR="00D27FA5">
      <w:rPr>
        <w:noProof/>
        <w:color w:val="292929"/>
        <w:sz w:val="16"/>
        <w:szCs w:val="16"/>
      </w:rPr>
      <w:t>ET-EQ 341 Eletrocompressor Biogas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F158C4">
      <w:rPr>
        <w:rFonts w:eastAsia="Arial Unicode MS"/>
        <w:noProof/>
        <w:color w:val="111111"/>
        <w:sz w:val="14"/>
      </w:rPr>
      <w:t>4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F158C4">
      <w:rPr>
        <w:rFonts w:eastAsia="Arial Unicode MS"/>
        <w:noProof/>
        <w:color w:val="111111"/>
        <w:sz w:val="14"/>
      </w:rPr>
      <w:t>4</w:t>
    </w:r>
    <w:r w:rsidRPr="00086E23">
      <w:rPr>
        <w:rFonts w:eastAsia="Arial Unicode MS"/>
        <w:color w:val="111111"/>
        <w:sz w:val="14"/>
      </w:rPr>
      <w:fldChar w:fldCharType="end"/>
    </w:r>
  </w:p>
  <w:p w:rsidR="008414D9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D9" w:rsidP="00187908"/>
  <w:p w:rsidR="008414D9" w:rsidP="00187908"/>
  <w:p w:rsidR="008414D9" w:rsidP="00187908"/>
  <w:p w:rsidR="008414D9" w:rsidP="00187908"/>
  <w:p w:rsidR="008414D9" w:rsidP="000062C0"/>
  <w:p w:rsidR="008414D9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8414D9" w:rsidRPr="00E626A2" w:rsidP="00175358">
          <w:pPr>
            <w:spacing w:before="60" w:after="60"/>
            <w:jc w:val="both"/>
            <w:rPr>
              <w:rFonts w:eastAsia="Arial Unicode MS"/>
              <w:b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– ÁGUAS DE PORTUGAL</w:t>
          </w:r>
        </w:p>
      </w:tc>
      <w:tc>
        <w:tcPr>
          <w:tcW w:w="2551" w:type="dxa"/>
        </w:tcPr>
        <w:p w:rsidR="008414D9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7780" cy="482600"/>
                <wp:effectExtent l="19050" t="0" r="7620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778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8414D9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8414D9" w:rsidRPr="00175358" w:rsidP="00F158C4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ELETROCOMPRESSOR DE BIOGÁS</w:t>
          </w:r>
        </w:p>
      </w:tc>
      <w:tc>
        <w:tcPr>
          <w:tcW w:w="2551" w:type="dxa"/>
          <w:vMerge w:val="restart"/>
          <w:shd w:val="clear" w:color="auto" w:fill="C0C0C0"/>
        </w:tcPr>
        <w:p w:rsidR="008414D9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8414D9" w:rsidRPr="00175358" w:rsidP="00175358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ET-EQ 341</w:t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8414D9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</w:rPr>
            <w:t>Equipamento</w:t>
          </w:r>
        </w:p>
      </w:tc>
      <w:tc>
        <w:tcPr>
          <w:tcW w:w="4014" w:type="dxa"/>
          <w:vAlign w:val="center"/>
        </w:tcPr>
        <w:p w:rsidR="008414D9" w:rsidRPr="00175358" w:rsidP="00F158C4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Pr="00175358">
            <w:rPr>
              <w:b/>
              <w:color w:val="111111"/>
              <w:sz w:val="16"/>
              <w:szCs w:val="16"/>
            </w:rPr>
            <w:t>01_2012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8414D9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8414D9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33B"/>
    <w:multiLevelType w:val="multilevel"/>
    <w:tmpl w:val="0FA0BCA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">
    <w:nsid w:val="039B73FB"/>
    <w:multiLevelType w:val="multilevel"/>
    <w:tmpl w:val="6B3A2390"/>
    <w:lvl w:ilvl="0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 Bold" w:hAnsi="Arial Bold" w:hint="default"/>
        <w:b/>
        <w:i w:val="0"/>
        <w:color w:val="4F8A1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3942FE"/>
    <w:multiLevelType w:val="multilevel"/>
    <w:tmpl w:val="B4D4A10A"/>
    <w:lvl w:ilvl="0">
      <w:start w:val="1"/>
      <w:numFmt w:val="bullet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F6EC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826208D"/>
    <w:multiLevelType w:val="multilevel"/>
    <w:tmpl w:val="09AA1FA2"/>
    <w:lvl w:ilvl="0">
      <w:start w:val="1"/>
      <w:numFmt w:val="decimal"/>
      <w:isLgl/>
      <w:lvlText w:val="%1."/>
      <w:lvlJc w:val="left"/>
      <w:pPr>
        <w:tabs>
          <w:tab w:val="num" w:pos="851"/>
        </w:tabs>
        <w:ind w:left="85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>
    <w:nsid w:val="1AD93C3C"/>
    <w:multiLevelType w:val="multilevel"/>
    <w:tmpl w:val="9FBA0E5A"/>
    <w:lvl w:ilvl="0">
      <w:start w:val="1"/>
      <w:numFmt w:val="decimal"/>
      <w:isLgl/>
      <w:lvlText w:val="%1."/>
      <w:lvlJc w:val="left"/>
      <w:pPr>
        <w:tabs>
          <w:tab w:val="num" w:pos="491"/>
        </w:tabs>
        <w:ind w:left="491" w:hanging="851"/>
      </w:pPr>
      <w:rPr>
        <w:rFonts w:ascii="Helvetica" w:eastAsia="Arial Unicode MS" w:hAnsi="Helvetica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6">
    <w:nsid w:val="1C4E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23813"/>
    <w:multiLevelType w:val="multilevel"/>
    <w:tmpl w:val="1FC2A5EE"/>
    <w:lvl w:ilvl="0">
      <w:start w:val="1"/>
      <w:numFmt w:val="bullet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C390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D34525"/>
    <w:multiLevelType w:val="hybridMultilevel"/>
    <w:tmpl w:val="492460B2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BB65B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3E73B77"/>
    <w:multiLevelType w:val="multilevel"/>
    <w:tmpl w:val="B4C4306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5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8">
    <w:nsid w:val="51E03B9B"/>
    <w:multiLevelType w:val="multilevel"/>
    <w:tmpl w:val="0576EBBA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>
    <w:nsid w:val="5EA9408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ED267A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22">
    <w:nsid w:val="63433B6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17"/>
  </w:num>
  <w:num w:numId="2">
    <w:abstractNumId w:val="16"/>
  </w:num>
  <w:num w:numId="3">
    <w:abstractNumId w:val="23"/>
  </w:num>
  <w:num w:numId="4">
    <w:abstractNumId w:val="7"/>
  </w:num>
  <w:num w:numId="5">
    <w:abstractNumId w:val="15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18"/>
  </w:num>
  <w:num w:numId="15">
    <w:abstractNumId w:val="20"/>
  </w:num>
  <w:num w:numId="16">
    <w:abstractNumId w:val="14"/>
  </w:num>
  <w:num w:numId="17">
    <w:abstractNumId w:val="0"/>
  </w:num>
  <w:num w:numId="18">
    <w:abstractNumId w:val="19"/>
  </w:num>
  <w:num w:numId="19">
    <w:abstractNumId w:val="6"/>
  </w:num>
  <w:num w:numId="20">
    <w:abstractNumId w:val="10"/>
  </w:num>
  <w:num w:numId="21">
    <w:abstractNumId w:val="13"/>
  </w:num>
  <w:num w:numId="22">
    <w:abstractNumId w:val="22"/>
  </w:num>
  <w:num w:numId="23">
    <w:abstractNumId w:val="3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21"/>
  </w:num>
  <w:num w:numId="27">
    <w:abstractNumId w:val="12"/>
    <w:lvlOverride w:ilvl="0">
      <w:startOverride w:val="1"/>
    </w:lvlOverride>
  </w:num>
  <w:num w:numId="28">
    <w:abstractNumId w:val="15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1F08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Heading2">
    <w:name w:val="heading 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/>
      <w:color w:val="1C1C1C"/>
      <w:szCs w:val="22"/>
    </w:rPr>
  </w:style>
  <w:style w:type="paragraph" w:styleId="Heading4">
    <w:name w:val="heading 4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b/>
      <w:color w:val="292929"/>
      <w:sz w:val="16"/>
      <w:szCs w:val="16"/>
    </w:rPr>
  </w:style>
  <w:style w:type="paragraph" w:customStyle="1" w:styleId="NotadeRodap">
    <w:name w:val="Nota de Rodapé"/>
    <w:basedOn w:val="Normal"/>
    <w:rsid w:val="00E50FF3"/>
    <w:rPr>
      <w:sz w:val="16"/>
    </w:rPr>
  </w:style>
  <w:style w:type="paragraph" w:styleId="TOC5">
    <w:name w:val="toc 5"/>
    <w:basedOn w:val="Normal"/>
    <w:next w:val="Normal"/>
    <w:autoRedefine/>
    <w:semiHidden/>
    <w:rsid w:val="00E50FF3"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rsid w:val="00E50FF3"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rsid w:val="00E50FF3"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rsid w:val="00E50FF3"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rsid w:val="00E50FF3"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rsid w:val="00E50FF3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rsid w:val="00E50FF3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rsid w:val="00E50FF3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rsid w:val="00E50FF3"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semiHidden/>
    <w:rsid w:val="00E96EF7"/>
    <w:rPr>
      <w:vertAlign w:val="superscript"/>
    </w:rPr>
  </w:style>
  <w:style w:type="character" w:customStyle="1" w:styleId="FooterChar">
    <w:name w:val="Footer Char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link w:val="Header"/>
    <w:semiHidden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26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4A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A6CF4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245A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5A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5A60"/>
    <w:rPr>
      <w:rFonts w:ascii="Gill Sans MT" w:hAnsi="Gill Sans MT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5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5A60"/>
    <w:rPr>
      <w:rFonts w:ascii="Gill Sans MT" w:hAnsi="Gill Sans MT" w:cs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13</TotalTime>
  <Pages>4</Pages>
  <Words>753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Águas de Portugal</dc:creator>
  <cp:lastModifiedBy>Rodrigo Marques</cp:lastModifiedBy>
  <cp:revision>5</cp:revision>
  <cp:lastPrinted>2008-05-09T21:18:00Z</cp:lastPrinted>
  <dcterms:created xsi:type="dcterms:W3CDTF">2011-12-22T22:36:00Z</dcterms:created>
  <dcterms:modified xsi:type="dcterms:W3CDTF">2012-03-27T17:53:00Z</dcterms:modified>
</cp:coreProperties>
</file>